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Beleidsplan Stichting Lutje Geluk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Versie: 2025–2027</w:t>
        <w:br w:type="textWrapping"/>
        <w:t xml:space="preserve">Datum vastgesteld: 6 juni 2025</w:t>
        <w:br w:type="textWrapping"/>
        <w:t xml:space="preserve">RSIN/fiscaal nr: 858807786</w:t>
        <w:br w:type="textWrapping"/>
        <w:t xml:space="preserve">KVK-nr: </w:t>
      </w:r>
      <w:r w:rsidDel="00000000" w:rsidR="00000000" w:rsidRPr="00000000">
        <w:rPr>
          <w:color w:val="1e293b"/>
          <w:rtl w:val="0"/>
        </w:rPr>
        <w:t xml:space="preserve">71680055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1. Gegevens van de instelling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Naam: Stichting Lutje Geluk</w:t>
        <w:br w:type="textWrapping"/>
        <w:t xml:space="preserve">Adres:  Oosterhamrikkade 52a te Groningen</w:t>
        <w:br w:type="textWrapping"/>
        <w:t xml:space="preserve">E-mail: info@lutjegeluk.nl</w:t>
        <w:br w:type="textWrapping"/>
        <w:t xml:space="preserve">Website: www.lutjegeluk.nl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2. Doelstelling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Stichting Lutje Geluk heeft als doel het creëren van geluksmomenten voor financieel en/of sociaal kwetsbare gezinnen in Groningen, door het aanbieden van activiteiten en belevenissen die zonder hulp niet mogelijk zouden zijn.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3. Werkwijze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Gezinnen melden zich aan via de website en maken een eigen account aan. Alleen het bestuur heeft toegang tot de gegevens — anonimiteit en vertrouwen staan centraal.</w:t>
        <w:br w:type="textWrapping"/>
        <w:br w:type="textWrapping"/>
        <w:t xml:space="preserve">Uitgangspunten:</w:t>
        <w:br w:type="textWrapping"/>
        <w:t xml:space="preserve">1. Gezinnen kiezen zelf voor welk uitje of welke activiteit ze zich inschrijven.</w:t>
        <w:br w:type="textWrapping"/>
        <w:t xml:space="preserve">2. Deelname is anoniem; gezichten en namen worden niet gedeeld.</w:t>
        <w:br w:type="textWrapping"/>
        <w:t xml:space="preserve">3. Reiskosten en consumpties worden vergoed.</w:t>
        <w:br w:type="textWrapping"/>
        <w:t xml:space="preserve">4. Er wordt gewerkt op basis van vertrouwen; er wordt geen inkomensbewijs gevraagd.</w:t>
        <w:br w:type="textWrapping"/>
        <w:t xml:space="preserve">5. Activiteiten vinden vooral plaats tijdens schoolvakanties; er kan sprake zijn van een wachtlijst.</w:t>
      </w:r>
    </w:p>
    <w:p w:rsidR="00000000" w:rsidDel="00000000" w:rsidP="00000000" w:rsidRDefault="00000000" w:rsidRPr="00000000" w14:paraId="00000009">
      <w:pPr>
        <w:pStyle w:val="Heading1"/>
        <w:rPr/>
      </w:pPr>
      <w:r w:rsidDel="00000000" w:rsidR="00000000" w:rsidRPr="00000000">
        <w:rPr>
          <w:rtl w:val="0"/>
        </w:rPr>
        <w:t xml:space="preserve">4. Activiteiten 2025–2027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1. Uitjes voor gezinnen</w:t>
        <w:br w:type="textWrapping"/>
        <w:t xml:space="preserve">- Dagjes uit voor gezinnen die dat zelf niet kunnen bekostigen, zoals een pretpark-, dierentuin- of bioscoopbezoek.</w:t>
        <w:br w:type="textWrapping"/>
        <w:t xml:space="preserve">- Inclusief vervoer en consumpties.</w:t>
        <w:br w:type="textWrapping"/>
        <w:br w:type="textWrapping"/>
        <w:t xml:space="preserve">2. Decemberactie</w:t>
        <w:br w:type="textWrapping"/>
        <w:t xml:space="preserve">- Een feestelijk moment in december, zoals het geven van verrassingspakketten of het aanbieden van een gezamenlijke beleving rond de feestdagen.</w:t>
        <w:br w:type="textWrapping"/>
        <w:br w:type="textWrapping"/>
        <w:t xml:space="preserve">3. FC Groningen-wedstrijden</w:t>
        <w:br w:type="textWrapping"/>
        <w:t xml:space="preserve">- Het beschikbaar stellen van stoelen bij thuiswedstrijden, zodat gezinnen samen kunnen genieten van een voetbalavond.</w:t>
      </w:r>
    </w:p>
    <w:p w:rsidR="00000000" w:rsidDel="00000000" w:rsidP="00000000" w:rsidRDefault="00000000" w:rsidRPr="00000000" w14:paraId="0000000B">
      <w:pPr>
        <w:pStyle w:val="Heading1"/>
        <w:rPr/>
      </w:pPr>
      <w:r w:rsidDel="00000000" w:rsidR="00000000" w:rsidRPr="00000000">
        <w:rPr>
          <w:rtl w:val="0"/>
        </w:rPr>
        <w:t xml:space="preserve">5. Fondsenwerving &amp; partners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- Werving van lokale sponsors, donateurs en fondsen.</w:t>
        <w:br w:type="textWrapping"/>
        <w:t xml:space="preserve">- Acties en campagnes om middelen te genereren.</w:t>
        <w:br w:type="textWrapping"/>
        <w:t xml:space="preserve">- Samenwerking met maatschappelijke en lokale organisaties.</w:t>
        <w:br w:type="textWrapping"/>
        <w:t xml:space="preserve">- Inzet van vrijwilligers voor onder andere communicatie en logistiek.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6. Vermogen &amp; besteding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Alle inkomsten komen ten gunste van de stichting.</w:t>
        <w:br w:type="textWrapping"/>
        <w:t xml:space="preserve">- Onkosten voor administratie en webhosting worden bewust beperkt gehouden.</w:t>
        <w:br w:type="textWrapping"/>
        <w:t xml:space="preserve">- Bestuursleden werken onbezoldigd.</w:t>
        <w:br w:type="textWrapping"/>
        <w:br w:type="textWrapping"/>
        <w:t xml:space="preserve">Bestuurskosten: geen.</w:t>
        <w:br w:type="textWrapping"/>
        <w:t xml:space="preserve">Beloning bestuur: geen.</w:t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7. Beheer &amp; verantwoording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Jaarlijkse financiële verantwoording door de penningmeester.</w:t>
        <w:br w:type="textWrapping"/>
        <w:t xml:space="preserve">- Bestedingen worden vooraf besproken en vastgelegd.</w:t>
        <w:br w:type="textWrapping"/>
        <w:t xml:space="preserve">- Jaarrekening en activiteitenverslag worden gepubliceerd op de website.</w:t>
      </w:r>
    </w:p>
    <w:p w:rsidR="00000000" w:rsidDel="00000000" w:rsidP="00000000" w:rsidRDefault="00000000" w:rsidRPr="00000000" w14:paraId="00000011">
      <w:pPr>
        <w:pStyle w:val="Heading1"/>
        <w:rPr/>
      </w:pPr>
      <w:r w:rsidDel="00000000" w:rsidR="00000000" w:rsidRPr="00000000">
        <w:rPr>
          <w:rtl w:val="0"/>
        </w:rPr>
        <w:t xml:space="preserve">8. Publicatieplicht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 stichting publiceert op haar website:</w:t>
        <w:br w:type="textWrapping"/>
        <w:t xml:space="preserve">- Statutaire gegevens en contactinformatie</w:t>
        <w:br w:type="textWrapping"/>
        <w:t xml:space="preserve">- Het actuele beleidsplan</w:t>
        <w:br w:type="textWrapping"/>
        <w:t xml:space="preserve">- Bestuursamenstelling en beloningsbeleid</w:t>
        <w:br w:type="textWrapping"/>
        <w:t xml:space="preserve">- Financieel jaarverslag en activiteitenoverzicht</w:t>
      </w:r>
    </w:p>
    <w:p w:rsidR="00000000" w:rsidDel="00000000" w:rsidP="00000000" w:rsidRDefault="00000000" w:rsidRPr="00000000" w14:paraId="00000013">
      <w:pPr>
        <w:pStyle w:val="Heading1"/>
        <w:rPr/>
      </w:pPr>
      <w:r w:rsidDel="00000000" w:rsidR="00000000" w:rsidRPr="00000000">
        <w:rPr>
          <w:rtl w:val="0"/>
        </w:rPr>
        <w:t xml:space="preserve">9. Evaluatie en toekomst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- Na afloop van elke activiteit wordt intern geëvalueerd, eventueel met input van deelnemers.</w:t>
        <w:br w:type="textWrapping"/>
        <w:t xml:space="preserve">- Het beleid wordt tweejaarlijks herzien.</w:t>
        <w:br w:type="textWrapping"/>
        <w:t xml:space="preserve">- Er is geen voornemen tot uitbreiding van de doelgroep.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6cYeKShO91m/4Fifgt/sID5C8g==">CgMxLjA4AHIhMWhMT1ljZFNFM1dtenNiUVVCUGpya2Q1aFZGSGM3Tk1R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